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50AB" w:rsidRPr="000D4FA0" w:rsidRDefault="004B50AB" w:rsidP="004B50AB">
      <w:pPr>
        <w:pStyle w:val="a3"/>
        <w:rPr>
          <w:rFonts w:ascii="Times New Roman" w:hAnsi="Times New Roman" w:cs="Times New Roman"/>
          <w:sz w:val="24"/>
          <w:szCs w:val="24"/>
        </w:rPr>
      </w:pPr>
      <w:r w:rsidRPr="000D4FA0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0D4FA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0D4FA0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0D4FA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0D4FA0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4B50AB" w:rsidRPr="000D4FA0" w:rsidRDefault="004B50AB" w:rsidP="004B50AB">
      <w:pPr>
        <w:pStyle w:val="a3"/>
        <w:rPr>
          <w:rFonts w:ascii="Times New Roman" w:hAnsi="Times New Roman" w:cs="Times New Roman"/>
          <w:sz w:val="24"/>
          <w:szCs w:val="24"/>
        </w:rPr>
      </w:pPr>
      <w:r w:rsidRPr="000D4FA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4B50AB" w:rsidRPr="000D4FA0" w:rsidRDefault="004B50AB" w:rsidP="004B50AB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0D4FA0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0D4FA0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4B50AB" w:rsidRPr="000D4FA0" w:rsidRDefault="004B50AB" w:rsidP="004B50AB">
      <w:pPr>
        <w:pStyle w:val="a3"/>
        <w:rPr>
          <w:rFonts w:ascii="Times New Roman" w:hAnsi="Times New Roman" w:cs="Times New Roman"/>
          <w:sz w:val="24"/>
          <w:szCs w:val="24"/>
        </w:rPr>
      </w:pPr>
      <w:r w:rsidRPr="000D4FA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4B50AB" w:rsidRPr="000D4FA0" w:rsidRDefault="004B50AB" w:rsidP="004B50AB">
      <w:pPr>
        <w:pStyle w:val="a3"/>
        <w:rPr>
          <w:rFonts w:ascii="Times New Roman" w:hAnsi="Times New Roman" w:cs="Times New Roman"/>
          <w:sz w:val="72"/>
          <w:szCs w:val="72"/>
        </w:rPr>
      </w:pPr>
      <w:r w:rsidRPr="000D4FA0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4B50AB" w:rsidRDefault="004B50AB" w:rsidP="004B50AB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279 от 13.05</w:t>
      </w:r>
      <w:r w:rsidRPr="000D4FA0">
        <w:rPr>
          <w:rFonts w:ascii="Times New Roman" w:hAnsi="Times New Roman" w:cs="Times New Roman"/>
          <w:sz w:val="72"/>
          <w:szCs w:val="72"/>
        </w:rPr>
        <w:t>.2019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</w:rPr>
        <w:t xml:space="preserve">Порядок использования открытого </w:t>
      </w:r>
      <w:r w:rsidRPr="00231656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</w:rPr>
        <w:t>огня и разведения костров на землях сельскохозяйственного назначения и землях запаса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</w:t>
      </w: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1. Настоящий Порядок использования открытого огня и разведения костров на землях сельскохозяйственного назначения и землях запаса (далее - Порядок) устанавливает обязательные требования пожарной безопасности к использованию открытого огня и разведению костров на землях сельскохозяйственного назначения и землях запаса (далее - использование открытого огня).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2. Использование открытого огня должно осуществляться в специально оборудованных местах при выполнении следующих требований: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а) место использования открытого огня должно быть выполнено в виде котлована (ямы, рва) не менее чем 0,3 метра глубиной и не более 1 метра в диаметре или площадки с прочно установленной на ней металлической емкостью (например: бочка, бак, мангал) или емкостью, выполненной из иных негорючих материалов, исключающих возможность распространения пламени и выпадения сгораемых материалов за пределы очага горения, объёмом не</w:t>
      </w:r>
      <w:proofErr w:type="gramEnd"/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более 1 куб. метра;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б) место использования открытого огня должно располагаться на расстоянии не менее 50 метров от ближайшего объекта (здания, сооружения, постройки, открытого склада, скирды), 100 метров - от хвойного леса или отдельно растущих хвойных деревьев и молодняка и 30 метров - от лиственного леса или отдельно растущих групп лиственных деревьев;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в) территория вокруг места использования открытого огня должна быть очищена в радиусе 10 метров от сухостойных деревьев, сухой травы, валежника, порубочных остатков, других горючих материалов и отделена противопожарной минерализованной полосой шириной не менее 0,4 метра;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г) лицо, использующее открытый огонь, должно быть обеспечено первичными средствами пожаротушения для локализации и ликвидации горения, а также мобильным средством связи для вызова подразделения пожарной охраны.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3. При использовании открытого огня в металлической емкости или емкости, выполненной из иных негорючих материалов, исключающей распространение пламени и выпадение сгораемых материалов за пределы очага горения, минимально допустимые расстояния, предусмотренные </w:t>
      </w:r>
      <w:hyperlink r:id="rId4" w:anchor="1022" w:history="1">
        <w:r w:rsidRPr="00231656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</w:rPr>
          <w:t>подпунктами «б»</w:t>
        </w:r>
      </w:hyperlink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 и </w:t>
      </w:r>
      <w:hyperlink r:id="rId5" w:anchor="1023" w:history="1">
        <w:r w:rsidRPr="00231656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</w:rPr>
          <w:t>«в» пункта 2</w:t>
        </w:r>
      </w:hyperlink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 настоящего Порядка, могут быть уменьшены вдвое. При этом устройство противопожарной минерализованной полосы не требуется.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4. В целях своевременной локализации процесса горения емкость, предназначенная для сжигания мусора, должна использоваться с металлическим листом, размер которого должен позволять полностью закрыть указанную емкость сверху.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5. </w:t>
      </w:r>
      <w:proofErr w:type="gramStart"/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При использовании открытого огня и разведения костров для приготовления пищи в специальных несгораемых емкостях (например: мангалах, жаровнях) на садовых </w:t>
      </w: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lastRenderedPageBreak/>
        <w:t>земельных участках, относящихся к землям сельскохозяйственного назначения, противопожарное расстояние от очага горения до зданий, сооружений и иных построек допускается уменьшать до 5 метров, а зону очистки вокруг емкости от горючих материалов - до 2 метров.</w:t>
      </w:r>
      <w:proofErr w:type="gramEnd"/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6. В случаях выполнения работ по уничтожению сухой травянистой растительности, стерни, пожнивных остатков и иных горючих отходов, организации массовых мероприятий с использованием открытого огня допускается увеличивать диаметр очага горения до 3 метров. При этом минимально допустимый радиус зоны очистки вокруг очага горения от сухостойных деревьев, сухой травы, валежника, порубочных остатков, других горючих материалов в зависимости от высоты точки их размещения следует определять в соответствии с </w:t>
      </w:r>
      <w:hyperlink r:id="rId6" w:anchor="1100" w:history="1">
        <w:r w:rsidRPr="00231656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</w:rPr>
          <w:t>приложением</w:t>
        </w:r>
      </w:hyperlink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 к настоящему Порядку.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7. При увеличении диаметра зоны очага горения должны быть выполнены требования </w:t>
      </w:r>
      <w:hyperlink r:id="rId7" w:anchor="1002" w:history="1">
        <w:r w:rsidRPr="00231656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</w:rPr>
          <w:t>пункта 2</w:t>
        </w:r>
      </w:hyperlink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 настоящего Порядка. При этом на каждый очаг использования открытого огня должно быть задействовано не менее 2-х человек, обеспеченных первичными средствами пожаротушения и прошедших обучение мерам пожарной безопасности в соответствии с Нормами пожарной безопасности «Обучение мерам пожарной безопасности работников организаций», утвержденными приказом МЧС России от 12.12.2007 № 645 (зарегистрирован Минюстом России 21.01.2008, регистрационный № 10938)</w:t>
      </w:r>
      <w:hyperlink r:id="rId8" w:anchor="1111" w:history="1">
        <w:r w:rsidRPr="00231656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</w:rPr>
          <w:t>*</w:t>
        </w:r>
      </w:hyperlink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8. В течение всего периода использования открытого огня до прекращения процесса тления должен осуществляться </w:t>
      </w:r>
      <w:proofErr w:type="gramStart"/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контроль за</w:t>
      </w:r>
      <w:proofErr w:type="gramEnd"/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нераспространением горения (тления) за пределы очаговой зоны.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9. Использование открытого огня запрещается: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на торфяных почвах;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при установлении на соответствующей территории особого противопожарного режима;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при поступившей информации о приближающихся неблагоприятных или опасных для жизнедеятельности людей метеорологических последствиях, связанных с сильными порывами ветра;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под кронами деревьев хвойных пород;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в емкости, стенки которой имеют огненный сквозной прогар;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при скорости ветра, превышающей значение 5 метров в секунду, если открытый огонь используется без металлической емкости или емкости, выполненной из иных негорючих материалов, исключающей распространение пламени и выпадение сгораемых материалов за пределы очага горения;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при скорости ветра, превышающей значение 10 метров в секунду.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10. В процессе использования открытого огня запрещается: осуществлять сжигание </w:t>
      </w:r>
      <w:proofErr w:type="gramStart"/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горючих</w:t>
      </w:r>
      <w:proofErr w:type="gramEnd"/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легковоспламеняющихся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жидкостей (кроме жидкостей, используемых для розжига), взрывоопасных веществ и материалов, а также изделий и иных материалов, выделяющих при горении токсичные и высокотоксичные вещества;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оставлять место очага горения без присмотра до полного прекращения горения (тления);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располагать легковоспламеняющиеся и горючие жидкости, а также горючие материалы вблизи очага горения.</w:t>
      </w:r>
    </w:p>
    <w:p w:rsidR="00231656" w:rsidRPr="00231656" w:rsidRDefault="00231656" w:rsidP="00231656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231656">
        <w:rPr>
          <w:rFonts w:ascii="Times New Roman" w:eastAsia="Times New Roman" w:hAnsi="Times New Roman" w:cs="Times New Roman"/>
          <w:color w:val="333333"/>
          <w:sz w:val="24"/>
          <w:szCs w:val="24"/>
        </w:rPr>
        <w:t>11. После использования открытого огня место очага горения должно быть засыпано землей (песком) или залито водой до полного прекращения горения (тления).</w:t>
      </w:r>
    </w:p>
    <w:p w:rsidR="00F6352B" w:rsidRDefault="00F6352B"/>
    <w:p w:rsidR="00231656" w:rsidRPr="00BF2D47" w:rsidRDefault="00231656" w:rsidP="00231656">
      <w:pPr>
        <w:pStyle w:val="a3"/>
        <w:rPr>
          <w:rStyle w:val="a7"/>
          <w:rFonts w:ascii="Times New Roman" w:hAnsi="Times New Roman" w:cs="Times New Roman"/>
          <w:i w:val="0"/>
          <w:iCs w:val="0"/>
          <w:sz w:val="24"/>
          <w:szCs w:val="24"/>
        </w:rPr>
      </w:pPr>
      <w:r w:rsidRPr="00BF2D47">
        <w:rPr>
          <w:rFonts w:ascii="Times New Roman" w:hAnsi="Times New Roman" w:cs="Times New Roman"/>
          <w:sz w:val="24"/>
          <w:szCs w:val="24"/>
        </w:rPr>
        <w:t xml:space="preserve">ВАРАКСИНСКИЙ ВЕСТНИК </w:t>
      </w:r>
      <w:r w:rsidRPr="00BF2D47">
        <w:rPr>
          <w:rStyle w:val="a7"/>
          <w:rFonts w:ascii="Times New Roman" w:hAnsi="Times New Roman" w:cs="Times New Roman"/>
          <w:sz w:val="24"/>
          <w:szCs w:val="24"/>
        </w:rPr>
        <w:t>Перио</w:t>
      </w:r>
      <w:r>
        <w:rPr>
          <w:rStyle w:val="a7"/>
          <w:rFonts w:ascii="Times New Roman" w:hAnsi="Times New Roman" w:cs="Times New Roman"/>
          <w:sz w:val="24"/>
          <w:szCs w:val="24"/>
        </w:rPr>
        <w:t>дическое печатное издание № 279от 13.05</w:t>
      </w:r>
      <w:r w:rsidRPr="00BF2D47">
        <w:rPr>
          <w:rStyle w:val="a7"/>
          <w:rFonts w:ascii="Times New Roman" w:hAnsi="Times New Roman" w:cs="Times New Roman"/>
          <w:sz w:val="24"/>
          <w:szCs w:val="24"/>
        </w:rPr>
        <w:t>.2019</w:t>
      </w:r>
    </w:p>
    <w:p w:rsidR="00231656" w:rsidRPr="00BF2D47" w:rsidRDefault="00231656" w:rsidP="00231656">
      <w:pPr>
        <w:pStyle w:val="a3"/>
        <w:rPr>
          <w:rStyle w:val="a6"/>
          <w:rFonts w:ascii="Times New Roman" w:hAnsi="Times New Roman" w:cs="Times New Roman"/>
          <w:i w:val="0"/>
          <w:sz w:val="24"/>
          <w:szCs w:val="24"/>
        </w:rPr>
      </w:pPr>
      <w:r w:rsidRPr="00BF2D47">
        <w:rPr>
          <w:rStyle w:val="a7"/>
          <w:rFonts w:ascii="Times New Roman" w:hAnsi="Times New Roman" w:cs="Times New Roman"/>
          <w:sz w:val="24"/>
          <w:szCs w:val="24"/>
        </w:rPr>
        <w:t>адрес:</w:t>
      </w:r>
      <w:r w:rsidRPr="00BF2D47">
        <w:rPr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7"/>
          <w:rFonts w:ascii="Times New Roman" w:hAnsi="Times New Roman" w:cs="Times New Roman"/>
          <w:sz w:val="24"/>
          <w:szCs w:val="24"/>
        </w:rPr>
        <w:t xml:space="preserve">632295 </w:t>
      </w:r>
      <w:proofErr w:type="spellStart"/>
      <w:r w:rsidRPr="00BF2D47">
        <w:rPr>
          <w:rStyle w:val="a7"/>
          <w:rFonts w:ascii="Times New Roman" w:hAnsi="Times New Roman" w:cs="Times New Roman"/>
          <w:sz w:val="24"/>
          <w:szCs w:val="24"/>
        </w:rPr>
        <w:t>с</w:t>
      </w:r>
      <w:proofErr w:type="gramStart"/>
      <w:r w:rsidRPr="00BF2D47">
        <w:rPr>
          <w:rStyle w:val="a7"/>
          <w:rFonts w:ascii="Times New Roman" w:hAnsi="Times New Roman" w:cs="Times New Roman"/>
          <w:sz w:val="24"/>
          <w:szCs w:val="24"/>
        </w:rPr>
        <w:t>.В</w:t>
      </w:r>
      <w:proofErr w:type="gramEnd"/>
      <w:r w:rsidRPr="00BF2D47">
        <w:rPr>
          <w:rStyle w:val="a7"/>
          <w:rFonts w:ascii="Times New Roman" w:hAnsi="Times New Roman" w:cs="Times New Roman"/>
          <w:sz w:val="24"/>
          <w:szCs w:val="24"/>
        </w:rPr>
        <w:t>араксино</w:t>
      </w:r>
      <w:proofErr w:type="spellEnd"/>
      <w:r>
        <w:rPr>
          <w:rStyle w:val="a7"/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7"/>
          <w:rFonts w:ascii="Times New Roman" w:hAnsi="Times New Roman" w:cs="Times New Roman"/>
          <w:sz w:val="24"/>
          <w:szCs w:val="24"/>
        </w:rPr>
        <w:t xml:space="preserve">ул.Зеленая, дом 17 </w:t>
      </w:r>
      <w:proofErr w:type="spellStart"/>
      <w:r w:rsidRPr="00BF2D47">
        <w:rPr>
          <w:rStyle w:val="a7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BF2D47">
        <w:rPr>
          <w:rStyle w:val="a7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231656" w:rsidRDefault="00231656"/>
    <w:sectPr w:rsidR="00231656" w:rsidSect="00B10C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B50AB"/>
    <w:rsid w:val="00231656"/>
    <w:rsid w:val="00466521"/>
    <w:rsid w:val="004B50AB"/>
    <w:rsid w:val="00A718B8"/>
    <w:rsid w:val="00B10C36"/>
    <w:rsid w:val="00F635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0C36"/>
  </w:style>
  <w:style w:type="paragraph" w:styleId="3">
    <w:name w:val="heading 3"/>
    <w:basedOn w:val="a"/>
    <w:link w:val="30"/>
    <w:uiPriority w:val="9"/>
    <w:qFormat/>
    <w:rsid w:val="0023165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B50AB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231656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4">
    <w:name w:val="Normal (Web)"/>
    <w:basedOn w:val="a"/>
    <w:uiPriority w:val="99"/>
    <w:semiHidden/>
    <w:unhideWhenUsed/>
    <w:rsid w:val="002316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231656"/>
    <w:rPr>
      <w:color w:val="0000FF"/>
      <w:u w:val="single"/>
    </w:rPr>
  </w:style>
  <w:style w:type="character" w:styleId="a6">
    <w:name w:val="Intense Emphasis"/>
    <w:uiPriority w:val="21"/>
    <w:qFormat/>
    <w:rsid w:val="00231656"/>
    <w:rPr>
      <w:b/>
      <w:bCs/>
      <w:i/>
      <w:iCs/>
      <w:color w:val="4F81BD"/>
    </w:rPr>
  </w:style>
  <w:style w:type="character" w:styleId="a7">
    <w:name w:val="Emphasis"/>
    <w:basedOn w:val="a0"/>
    <w:qFormat/>
    <w:rsid w:val="0023165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54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arant.ru/products/ipo/prime/doc/71247022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garant.ru/products/ipo/prime/doc/71247022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arant.ru/products/ipo/prime/doc/71247022/" TargetMode="External"/><Relationship Id="rId5" Type="http://schemas.openxmlformats.org/officeDocument/2006/relationships/hyperlink" Target="https://www.garant.ru/products/ipo/prime/doc/71247022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garant.ru/products/ipo/prime/doc/71247022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967</Words>
  <Characters>5513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4</cp:revision>
  <cp:lastPrinted>2019-05-13T10:42:00Z</cp:lastPrinted>
  <dcterms:created xsi:type="dcterms:W3CDTF">2019-05-13T08:57:00Z</dcterms:created>
  <dcterms:modified xsi:type="dcterms:W3CDTF">2019-05-13T10:43:00Z</dcterms:modified>
</cp:coreProperties>
</file>